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彩虹粗仿宋" w:hAnsi="宋体" w:eastAsia="彩虹粗仿宋" w:cs="Times New Roman"/>
          <w:b/>
          <w:snapToGrid w:val="0"/>
          <w:kern w:val="0"/>
          <w:sz w:val="32"/>
          <w:szCs w:val="32"/>
        </w:rPr>
      </w:pPr>
      <w:r>
        <w:rPr>
          <w:rFonts w:hint="eastAsia" w:ascii="彩虹小标宋" w:eastAsia="彩虹小标宋"/>
          <w:snapToGrid w:val="0"/>
          <w:sz w:val="44"/>
          <w:szCs w:val="44"/>
        </w:rPr>
        <w:t>采购需求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一、服务供应商要求</w:t>
      </w:r>
    </w:p>
    <w:p>
      <w:pPr>
        <w:spacing w:line="360" w:lineRule="auto"/>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1.企业必须是在中华人民共和国境内注册的具有独立承担民事责任能力的法人，注册资本须在500万元人民币（或等值外币）及以上。</w:t>
      </w:r>
    </w:p>
    <w:p>
      <w:pPr>
        <w:spacing w:line="360" w:lineRule="auto"/>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2.企业须有固定的营业场所。</w:t>
      </w:r>
    </w:p>
    <w:p>
      <w:pPr>
        <w:spacing w:line="360" w:lineRule="auto"/>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3.供应商所提供的配套硬件设备协作平板须具有中国国家强制性产品认证证书及中国节能产品认证证书等资质证书。</w:t>
      </w:r>
    </w:p>
    <w:p>
      <w:pPr>
        <w:spacing w:line="360" w:lineRule="auto"/>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4.供应商如果是代理经销商须具备原厂商的代理资质或授权证明。</w:t>
      </w:r>
    </w:p>
    <w:p>
      <w:pPr>
        <w:spacing w:line="360" w:lineRule="auto"/>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5.企业需成立三年以上，经营状况正常且最近一年净利润为正数。</w:t>
      </w:r>
    </w:p>
    <w:p>
      <w:pPr>
        <w:spacing w:line="360" w:lineRule="auto"/>
        <w:ind w:firstLine="640" w:firstLineChars="200"/>
        <w:rPr>
          <w:rFonts w:hint="eastAsia" w:ascii="彩虹粗仿宋" w:eastAsia="彩虹粗仿宋" w:cs="宋体" w:hAnsiTheme="minorEastAsia"/>
          <w:kern w:val="0"/>
          <w:sz w:val="32"/>
          <w:szCs w:val="32"/>
          <w:lang w:val="en-US" w:eastAsia="zh-CN" w:bidi="ar-SA"/>
        </w:rPr>
      </w:pPr>
      <w:r>
        <w:rPr>
          <w:rFonts w:hint="eastAsia" w:ascii="彩虹粗仿宋" w:eastAsia="彩虹粗仿宋" w:cs="宋体" w:hAnsiTheme="minorEastAsia"/>
          <w:kern w:val="0"/>
          <w:sz w:val="32"/>
          <w:szCs w:val="32"/>
          <w:lang w:val="en-US" w:eastAsia="zh-CN" w:bidi="ar-SA"/>
        </w:rPr>
        <w:t>6.企业近3年具有与银行业合作的同类型案例；符合资格要求且与建设银行有合作案例的企业优先。</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二、对于拟采购设备（物品）的要求</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（一）基本要求</w:t>
      </w:r>
    </w:p>
    <w:p>
      <w:pPr>
        <w:pStyle w:val="5"/>
        <w:shd w:val="clear" w:color="auto" w:fill="FFFFFF"/>
        <w:ind w:firstLine="645"/>
        <w:rPr>
          <w:rFonts w:ascii="彩虹粗仿宋" w:eastAsia="彩虹粗仿宋" w:hAnsiTheme="minorEastAsia"/>
          <w:sz w:val="32"/>
          <w:szCs w:val="32"/>
        </w:rPr>
      </w:pPr>
      <w:r>
        <w:rPr>
          <w:rFonts w:hint="eastAsia" w:ascii="彩虹粗仿宋" w:eastAsia="彩虹粗仿宋" w:hAnsiTheme="minorEastAsia"/>
          <w:sz w:val="32"/>
          <w:szCs w:val="32"/>
        </w:rPr>
        <w:t>采购内容包括为福建省翔安监狱深化信息化合作项目相关配套硬件设备。</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（二）采购内容</w:t>
      </w:r>
    </w:p>
    <w:p>
      <w:pPr>
        <w:spacing w:line="580" w:lineRule="exact"/>
        <w:rPr>
          <w:rFonts w:ascii="彩虹粗仿宋" w:hAnsi="宋体" w:eastAsia="彩虹粗仿宋" w:cs="Times New Roman"/>
          <w:snapToGrid w:val="0"/>
          <w:kern w:val="0"/>
          <w:sz w:val="32"/>
          <w:szCs w:val="32"/>
        </w:rPr>
      </w:pPr>
      <w:bookmarkStart w:id="0" w:name="_Hlk117600423"/>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65"/>
        <w:gridCol w:w="483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序号</w:t>
            </w:r>
          </w:p>
        </w:tc>
        <w:tc>
          <w:tcPr>
            <w:tcW w:w="1365" w:type="dxa"/>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设备名称</w:t>
            </w:r>
          </w:p>
        </w:tc>
        <w:tc>
          <w:tcPr>
            <w:tcW w:w="4832" w:type="dxa"/>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规格描述</w:t>
            </w:r>
          </w:p>
        </w:tc>
        <w:tc>
          <w:tcPr>
            <w:tcW w:w="1559" w:type="dxa"/>
          </w:tcPr>
          <w:p>
            <w:pPr>
              <w:spacing w:line="580" w:lineRule="exact"/>
              <w:jc w:val="center"/>
              <w:rPr>
                <w:rFonts w:ascii="宋体" w:hAnsi="宋体" w:eastAsia="宋体" w:cs="宋体"/>
                <w:b/>
                <w:bCs/>
                <w:snapToGrid w:val="0"/>
                <w:kern w:val="0"/>
                <w:sz w:val="28"/>
                <w:szCs w:val="28"/>
              </w:rPr>
            </w:pPr>
            <w:r>
              <w:rPr>
                <w:rFonts w:hint="eastAsia" w:ascii="宋体" w:hAnsi="宋体" w:eastAsia="宋体" w:cs="宋体"/>
                <w:b/>
                <w:bCs/>
                <w:snapToGrid w:val="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vAlign w:val="center"/>
          </w:tcPr>
          <w:p>
            <w:pPr>
              <w:spacing w:line="580" w:lineRule="exact"/>
              <w:jc w:val="center"/>
              <w:rPr>
                <w:rFonts w:ascii="宋体" w:hAnsi="宋体" w:eastAsia="宋体" w:cs="宋体"/>
                <w:snapToGrid w:val="0"/>
                <w:kern w:val="0"/>
                <w:sz w:val="28"/>
                <w:szCs w:val="28"/>
              </w:rPr>
            </w:pPr>
            <w:r>
              <w:rPr>
                <w:rFonts w:hint="eastAsia" w:ascii="宋体" w:hAnsi="宋体" w:eastAsia="宋体" w:cs="宋体"/>
                <w:snapToGrid w:val="0"/>
                <w:kern w:val="0"/>
                <w:sz w:val="28"/>
                <w:szCs w:val="28"/>
              </w:rPr>
              <w:t>1</w:t>
            </w:r>
          </w:p>
        </w:tc>
        <w:tc>
          <w:tcPr>
            <w:tcW w:w="1365" w:type="dxa"/>
            <w:vAlign w:val="center"/>
          </w:tcPr>
          <w:p>
            <w:pPr>
              <w:widowControl/>
              <w:jc w:val="center"/>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协作平板</w:t>
            </w:r>
          </w:p>
        </w:tc>
        <w:tc>
          <w:tcPr>
            <w:tcW w:w="4832" w:type="dxa"/>
            <w:vAlign w:val="center"/>
          </w:tcPr>
          <w:p>
            <w:pPr>
              <w:widowControl/>
              <w:jc w:val="left"/>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1、液晶屏显示尺寸65英寸，采用A+规屏，支持物理防蓝光，采用红外感应技术，20点触控，内置电子白板功能，25ms超低书写时延；</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2、支持全4K视频会议；适配主流云会议，1080P会议体验；分布式会议，小屏会议大屏开，支持通过license升级入驻式会议；</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3、Flash：64GB，RAM：12GB</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4、内置硬件编解码，支持welink、云会议，一键激活，PC、手机、大屏无缝协同，扫码入会；</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5、内置4K高清摄像头，2倍数字变焦，支持智能导播和AutoFrame，镜头隐私保护盖；</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6、内置≥6个非独立外扩展的麦克风，支持前向180°拾音，拾音距离≥12米。支持快速回声消除（AEC）、自动噪声抑制（ANS）、自动增益控制（AGC）、语音清脆化、语音增强、混响抑制和唇音同步。</w:t>
            </w:r>
          </w:p>
          <w:p>
            <w:pPr>
              <w:widowControl/>
              <w:jc w:val="left"/>
              <w:textAlignment w:val="center"/>
              <w:rPr>
                <w:rFonts w:ascii="宋体" w:hAnsi="宋体" w:eastAsia="宋体" w:cs="宋体"/>
                <w:snapToGrid w:val="0"/>
                <w:kern w:val="0"/>
                <w:sz w:val="24"/>
                <w:szCs w:val="24"/>
              </w:rPr>
            </w:pPr>
            <w:r>
              <w:rPr>
                <w:rFonts w:hint="eastAsia" w:ascii="宋体" w:hAnsi="宋体" w:eastAsia="宋体" w:cs="宋体"/>
                <w:color w:val="000000"/>
                <w:kern w:val="0"/>
                <w:sz w:val="24"/>
                <w:szCs w:val="24"/>
                <w:lang w:bidi="ar"/>
              </w:rPr>
              <w:t>7、支持平行视界功能：同一应用支持打开两个窗口，实现双页面显示；</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8、支持多窗功能：同时打开两个应用，减少应用切换；</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9、设备前置面板具有以下无转接接口：1*Type-C、2*USB Type-A。</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10、侧置具有以下无转接接口：1*HDMI IN、1*HDMI OUT、1*MIC IN、1路MIC OUT、2*RJ45、1*USB Type-A。</w:t>
            </w:r>
            <w:r>
              <w:rPr>
                <w:rFonts w:hint="eastAsia" w:ascii="宋体" w:hAnsi="宋体" w:eastAsia="宋体" w:cs="宋体"/>
                <w:color w:val="000000"/>
                <w:kern w:val="0"/>
                <w:sz w:val="24"/>
                <w:szCs w:val="24"/>
                <w:lang w:bidi="ar"/>
              </w:rPr>
              <w:br w:type="textWrapping"/>
            </w:r>
          </w:p>
        </w:tc>
        <w:tc>
          <w:tcPr>
            <w:tcW w:w="1559" w:type="dxa"/>
            <w:vAlign w:val="center"/>
          </w:tcPr>
          <w:p>
            <w:pPr>
              <w:spacing w:line="580" w:lineRule="exact"/>
              <w:jc w:val="center"/>
              <w:rPr>
                <w:rFonts w:ascii="宋体" w:hAnsi="宋体" w:eastAsia="宋体" w:cs="宋体"/>
                <w:snapToGrid w:val="0"/>
                <w:kern w:val="0"/>
                <w:sz w:val="28"/>
                <w:szCs w:val="28"/>
              </w:rPr>
            </w:pPr>
            <w:r>
              <w:rPr>
                <w:rFonts w:hint="eastAsia" w:ascii="宋体" w:hAnsi="宋体" w:eastAsia="宋体" w:cs="宋体"/>
                <w:snapToGrid w:val="0"/>
                <w:kern w:val="0"/>
                <w:sz w:val="28"/>
                <w:szCs w:val="28"/>
              </w:rPr>
              <w:t>13台</w:t>
            </w:r>
          </w:p>
        </w:tc>
      </w:tr>
      <w:bookmarkEnd w:id="0"/>
    </w:tbl>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（三）技术、质量要求</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 xml:space="preserve">1.供应商提供的产品质量标准按以下约定执行 </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产品应为完整、全新、未使用过的产品，产品品质不低于原厂商同类同规格产品品质标准。产品内附质量说明或使用说明的，入选供应商同时保证产品质量与内附说明一致，保证产品能按照产品内附说明且能在双方约定的项目中正常运行或使用。</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（四）生产、供货要求</w:t>
      </w:r>
    </w:p>
    <w:p>
      <w:pPr>
        <w:adjustRightInd w:val="0"/>
        <w:snapToGrid w:val="0"/>
        <w:spacing w:line="560" w:lineRule="atLeast"/>
        <w:ind w:firstLine="640" w:firstLineChars="200"/>
        <w:rPr>
          <w:rFonts w:ascii="彩虹粗仿宋" w:eastAsia="彩虹粗仿宋" w:cs="宋体" w:hAnsiTheme="minorEastAsia"/>
          <w:kern w:val="0"/>
          <w:sz w:val="32"/>
          <w:szCs w:val="32"/>
        </w:rPr>
      </w:pPr>
      <w:bookmarkStart w:id="1" w:name="_Hlk117611481"/>
      <w:r>
        <w:rPr>
          <w:rFonts w:hint="eastAsia" w:ascii="彩虹粗仿宋" w:eastAsia="彩虹粗仿宋" w:cs="宋体" w:hAnsiTheme="minorEastAsia"/>
          <w:kern w:val="0"/>
          <w:sz w:val="32"/>
          <w:szCs w:val="32"/>
        </w:rPr>
        <w:t>供应商应于本合同签订之日起30个工作日内，及时向福建省翔安监狱提供“服刑人员数智金融管理一体化平台”所需的硬件并完成安装调试。</w:t>
      </w:r>
    </w:p>
    <w:bookmarkEnd w:id="1"/>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（五）售后服务要求</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硬件设备免费维保期为1年。</w:t>
      </w:r>
      <w:bookmarkStart w:id="2" w:name="_Hlk117599742"/>
      <w:r>
        <w:rPr>
          <w:rFonts w:hint="eastAsia" w:ascii="彩虹粗仿宋" w:eastAsia="彩虹粗仿宋" w:cs="宋体" w:hAnsiTheme="minorEastAsia"/>
          <w:kern w:val="0"/>
          <w:sz w:val="32"/>
          <w:szCs w:val="32"/>
        </w:rPr>
        <w:t>售后服务要求有：</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1.提供售后服务质量保障方案，建立完善的售后服务管理体系及拥有专业的维护队伍，保证项目正常运行的措施。</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2.维护支持服务期内，提供7*24小时电话、网络等远程支持服务及上门维护支持服务。维护支持服务内容包括技术支持、日常巡检、故障排除、项目升级、项目功能后期细微优化或改进（按使用单位提供的功能需求在规定的时限内完成）、向使用单位所辖部门推广使用安装等。</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3.免费提供系统相关配套技术资料，包括但不限于操作手册（中文版）等。</w:t>
      </w:r>
    </w:p>
    <w:bookmarkEnd w:id="2"/>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（六）款项支付要求</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1.付款方式：自硬件设备到货验收合格并收到供应商开具的增值税专用发票后20个工作日内，向供应商支付货款总金额的95%；</w:t>
      </w:r>
      <w:r>
        <w:rPr>
          <w:rFonts w:hint="eastAsia" w:ascii="彩虹粗仿宋" w:eastAsia="彩虹粗仿宋" w:cs="宋体" w:hAnsiTheme="minorEastAsia"/>
          <w:kern w:val="0"/>
          <w:sz w:val="32"/>
          <w:szCs w:val="32"/>
        </w:rPr>
        <w:br w:type="textWrapping"/>
      </w:r>
      <w:r>
        <w:rPr>
          <w:rFonts w:hint="eastAsia" w:ascii="彩虹粗仿宋" w:eastAsia="彩虹粗仿宋" w:cs="宋体" w:hAnsiTheme="minorEastAsia"/>
          <w:kern w:val="0"/>
          <w:sz w:val="32"/>
          <w:szCs w:val="32"/>
        </w:rPr>
        <w:t xml:space="preserve">   2.免费维保期满后且双方无任何异议前提下的15个工作日内，向供应商支付货款总金额的5%，质保金不计息。</w:t>
      </w:r>
    </w:p>
    <w:p>
      <w:pPr>
        <w:adjustRightInd w:val="0"/>
        <w:snapToGrid w:val="0"/>
        <w:spacing w:line="560" w:lineRule="atLeast"/>
        <w:ind w:firstLine="643" w:firstLineChars="200"/>
        <w:rPr>
          <w:rFonts w:ascii="彩虹粗仿宋" w:hAnsi="宋体" w:eastAsia="彩虹粗仿宋" w:cs="Times New Roman"/>
          <w:b/>
          <w:snapToGrid w:val="0"/>
          <w:kern w:val="0"/>
          <w:sz w:val="32"/>
          <w:szCs w:val="32"/>
        </w:rPr>
      </w:pPr>
      <w:r>
        <w:rPr>
          <w:rFonts w:hint="eastAsia" w:ascii="彩虹粗仿宋" w:hAnsi="宋体" w:eastAsia="彩虹粗仿宋" w:cs="Times New Roman"/>
          <w:b/>
          <w:snapToGrid w:val="0"/>
          <w:kern w:val="0"/>
          <w:sz w:val="32"/>
          <w:szCs w:val="32"/>
        </w:rPr>
        <w:t>（七）其他要求</w:t>
      </w:r>
    </w:p>
    <w:p>
      <w:pPr>
        <w:adjustRightInd w:val="0"/>
        <w:snapToGrid w:val="0"/>
        <w:spacing w:line="560" w:lineRule="atLeast"/>
        <w:ind w:firstLine="640" w:firstLineChars="200"/>
        <w:rPr>
          <w:rFonts w:ascii="彩虹粗仿宋" w:eastAsia="彩虹粗仿宋" w:cs="宋体" w:hAnsiTheme="minorEastAsia"/>
          <w:kern w:val="0"/>
          <w:sz w:val="32"/>
          <w:szCs w:val="32"/>
        </w:rPr>
      </w:pPr>
      <w:r>
        <w:rPr>
          <w:rFonts w:hint="eastAsia" w:ascii="彩虹粗仿宋" w:eastAsia="彩虹粗仿宋" w:cs="宋体" w:hAnsiTheme="minorEastAsia"/>
          <w:kern w:val="0"/>
          <w:sz w:val="32"/>
          <w:szCs w:val="32"/>
        </w:rPr>
        <w:t>原则上入选公司应在我行开立结算帐户，用于商品、服务、工程等款项结算。</w:t>
      </w:r>
      <w:bookmarkStart w:id="3" w:name="_GoBack"/>
      <w:bookmarkEnd w:id="3"/>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1" w:lineRule="exact"/>
      <w:ind w:firstLine="6430"/>
    </w:pPr>
    <w:r>
      <mc:AlternateContent>
        <mc:Choice Requires="wps">
          <w:drawing>
            <wp:anchor distT="0" distB="0" distL="114300" distR="114300" simplePos="0" relativeHeight="251659264" behindDoc="0" locked="0" layoutInCell="0" allowOverlap="1">
              <wp:simplePos x="0" y="0"/>
              <wp:positionH relativeFrom="page">
                <wp:posOffset>892810</wp:posOffset>
              </wp:positionH>
              <wp:positionV relativeFrom="page">
                <wp:posOffset>810895</wp:posOffset>
              </wp:positionV>
              <wp:extent cx="5888990" cy="9525"/>
              <wp:effectExtent l="0" t="0" r="0" b="9525"/>
              <wp:wrapNone/>
              <wp:docPr id="160061051" name="Rectangle 3"/>
              <wp:cNvGraphicFramePr/>
              <a:graphic xmlns:a="http://schemas.openxmlformats.org/drawingml/2006/main">
                <a:graphicData uri="http://schemas.microsoft.com/office/word/2010/wordprocessingShape">
                  <wps:wsp>
                    <wps:cNvSpPr>
                      <a:spLocks noChangeArrowheads="1"/>
                    </wps:cNvSpPr>
                    <wps:spPr bwMode="auto">
                      <a:xfrm>
                        <a:off x="0" y="0"/>
                        <a:ext cx="588899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0.3pt;margin-top:63.85pt;height:0.75pt;width:463.7pt;mso-position-horizontal-relative:page;mso-position-vertical-relative:page;z-index:251659264;mso-width-relative:page;mso-height-relative:page;" fillcolor="#000000" filled="t" stroked="f" coordsize="21600,21600" o:allowincell="f" o:gfxdata="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y7uxtkAAAAMAQAADwAA&#10;AAAAAAABACAAAAAiAAAAZHJzL2Rvd25yZXYueG1sUEsBAhQAFAAAAAgAh07iQN1rADAVAgAALwQA&#10;AA4AAAAAAAAAAQAgAAAAKAEAAGRycy9lMm9Eb2MueG1sUEsFBgAAAAAGAAYAWQEAAK8FA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ZTE3OWNhYmQ2ODQzOTE4NDUyYWM1M2JkZjk1ZDUifQ=="/>
  </w:docVars>
  <w:rsids>
    <w:rsidRoot w:val="00432147"/>
    <w:rsid w:val="000B5A98"/>
    <w:rsid w:val="00115503"/>
    <w:rsid w:val="00153E27"/>
    <w:rsid w:val="00164EF9"/>
    <w:rsid w:val="003675EF"/>
    <w:rsid w:val="0036799B"/>
    <w:rsid w:val="00382820"/>
    <w:rsid w:val="00390C1D"/>
    <w:rsid w:val="00432147"/>
    <w:rsid w:val="004B339D"/>
    <w:rsid w:val="00560B16"/>
    <w:rsid w:val="0056494E"/>
    <w:rsid w:val="00574945"/>
    <w:rsid w:val="005C71FD"/>
    <w:rsid w:val="00721B36"/>
    <w:rsid w:val="00747DA6"/>
    <w:rsid w:val="007A7A4C"/>
    <w:rsid w:val="007E7123"/>
    <w:rsid w:val="008239B1"/>
    <w:rsid w:val="00AA2DA3"/>
    <w:rsid w:val="00AD6F70"/>
    <w:rsid w:val="00AF1C12"/>
    <w:rsid w:val="00C9704B"/>
    <w:rsid w:val="00CD2D4D"/>
    <w:rsid w:val="00CF3E2F"/>
    <w:rsid w:val="00F921E3"/>
    <w:rsid w:val="038F32F5"/>
    <w:rsid w:val="08EA11A5"/>
    <w:rsid w:val="0DAE6A7F"/>
    <w:rsid w:val="0E8F6E00"/>
    <w:rsid w:val="123A52FF"/>
    <w:rsid w:val="168A34C5"/>
    <w:rsid w:val="16D162FD"/>
    <w:rsid w:val="1D8E417D"/>
    <w:rsid w:val="240E0A7A"/>
    <w:rsid w:val="291A7E84"/>
    <w:rsid w:val="29F66FE5"/>
    <w:rsid w:val="30D17BD8"/>
    <w:rsid w:val="31925762"/>
    <w:rsid w:val="336D632F"/>
    <w:rsid w:val="33CE791A"/>
    <w:rsid w:val="38F81807"/>
    <w:rsid w:val="3BF06B27"/>
    <w:rsid w:val="3DEE62BF"/>
    <w:rsid w:val="3F8D74BD"/>
    <w:rsid w:val="42515CDB"/>
    <w:rsid w:val="56174DAE"/>
    <w:rsid w:val="56BC1454"/>
    <w:rsid w:val="586C0428"/>
    <w:rsid w:val="5C0B355D"/>
    <w:rsid w:val="5DC3254D"/>
    <w:rsid w:val="6FC56DEE"/>
    <w:rsid w:val="72C34258"/>
    <w:rsid w:val="769F59BD"/>
    <w:rsid w:val="7A9B7D6B"/>
    <w:rsid w:val="7B200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r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5</Pages>
  <Words>335</Words>
  <Characters>1910</Characters>
  <Lines>15</Lines>
  <Paragraphs>4</Paragraphs>
  <TotalTime>0</TotalTime>
  <ScaleCrop>false</ScaleCrop>
  <LinksUpToDate>false</LinksUpToDate>
  <CharactersWithSpaces>2241</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2025-04-15T11:21:00Z</dcterms:created>
  <dc:creator>Apache POI</dc:creator>
  <cp:lastModifiedBy>Administrator</cp:lastModifiedBy>
  <dcterms:modified xsi:type="dcterms:W3CDTF">2025-04-17T03:29:32Z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FA7DE5DCB92E44C4A7A3D41685EEA17D_13</vt:lpwstr>
  </property>
</Properties>
</file>